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885"/>
        <w:gridCol w:w="5137"/>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00" w:type="dxa"/>
            <w:gridSpan w:val="4"/>
          </w:tcPr>
          <w:p>
            <w:pPr>
              <w:jc w:val="center"/>
              <w:rPr>
                <w:rFonts w:hint="default" w:ascii="宋体" w:hAnsi="宋体" w:eastAsia="宋体" w:cs="宋体"/>
                <w:b/>
                <w:bCs/>
                <w:sz w:val="22"/>
                <w:szCs w:val="22"/>
                <w:vertAlign w:val="baseline"/>
                <w:lang w:val="en-US" w:eastAsia="zh-CN"/>
              </w:rPr>
            </w:pPr>
            <w:bookmarkStart w:id="0" w:name="_GoBack"/>
            <w:bookmarkEnd w:id="0"/>
            <w:r>
              <w:rPr>
                <w:rFonts w:hint="eastAsia" w:ascii="宋体" w:hAnsi="宋体" w:eastAsia="宋体" w:cs="宋体"/>
                <w:b/>
                <w:bCs/>
                <w:sz w:val="28"/>
                <w:szCs w:val="28"/>
                <w:vertAlign w:val="baseline"/>
                <w:lang w:val="en-US" w:eastAsia="zh-CN"/>
              </w:rPr>
              <w:t>作业设计评价标准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2"/>
          </w:tcPr>
          <w:p>
            <w:pPr>
              <w:jc w:val="center"/>
              <w:rPr>
                <w:rFonts w:hint="eastAsia" w:ascii="宋体" w:hAnsi="宋体" w:eastAsia="宋体" w:cs="宋体"/>
                <w:b/>
                <w:bCs/>
                <w:sz w:val="22"/>
                <w:szCs w:val="22"/>
                <w:vertAlign w:val="baseline"/>
              </w:rPr>
            </w:pPr>
            <w:r>
              <w:rPr>
                <w:rFonts w:hint="eastAsia" w:ascii="宋体" w:hAnsi="宋体" w:eastAsia="宋体" w:cs="宋体"/>
                <w:b/>
                <w:bCs/>
                <w:sz w:val="22"/>
                <w:szCs w:val="22"/>
              </w:rPr>
              <w:t>评价要素</w:t>
            </w:r>
          </w:p>
        </w:tc>
        <w:tc>
          <w:tcPr>
            <w:tcW w:w="5137" w:type="dxa"/>
          </w:tcPr>
          <w:p>
            <w:pPr>
              <w:jc w:val="center"/>
              <w:rPr>
                <w:rFonts w:hint="eastAsia" w:ascii="宋体" w:hAnsi="宋体" w:eastAsia="宋体" w:cs="宋体"/>
                <w:b/>
                <w:bCs/>
                <w:sz w:val="22"/>
                <w:szCs w:val="22"/>
                <w:vertAlign w:val="baseline"/>
              </w:rPr>
            </w:pPr>
            <w:r>
              <w:rPr>
                <w:rFonts w:hint="eastAsia" w:ascii="宋体" w:hAnsi="宋体" w:eastAsia="宋体" w:cs="宋体"/>
                <w:b/>
                <w:bCs/>
                <w:sz w:val="22"/>
                <w:szCs w:val="22"/>
                <w:vertAlign w:val="baseline"/>
              </w:rPr>
              <w:t>要求</w:t>
            </w:r>
          </w:p>
        </w:tc>
        <w:tc>
          <w:tcPr>
            <w:tcW w:w="773" w:type="dxa"/>
          </w:tcPr>
          <w:p>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2"/>
          </w:tcPr>
          <w:p>
            <w:pPr>
              <w:rPr>
                <w:rFonts w:hint="eastAsia" w:ascii="宋体" w:hAnsi="宋体" w:eastAsia="宋体" w:cs="宋体"/>
                <w:sz w:val="22"/>
                <w:szCs w:val="22"/>
                <w:vertAlign w:val="baseline"/>
              </w:rPr>
            </w:pPr>
            <w:r>
              <w:rPr>
                <w:rFonts w:hint="eastAsia" w:ascii="宋体" w:hAnsi="宋体" w:eastAsia="宋体" w:cs="宋体"/>
                <w:sz w:val="22"/>
                <w:szCs w:val="22"/>
              </w:rPr>
              <w:t>作业设计思想和理念</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体现了现代教育理念，遵循教育规律，体现学科核心素养的基本导向，基于目标导向下，准确把握作业的性质和功能，践行“减负增效”理念，优化作业设计与实施，提高作业质量，促进学生全面发展。</w:t>
            </w:r>
          </w:p>
        </w:tc>
        <w:tc>
          <w:tcPr>
            <w:tcW w:w="773" w:type="dxa"/>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restart"/>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作业设计原则</w:t>
            </w: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针对性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作业与目标有对应，提高学生学习的有效性，紧扣了课程要求及教学目标与内容，围绕培养学生必备品格</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关键能力和正确的价值观的导向，针对学生学情情况及实际课堂，作业设置针对性强，突出了学习重难点适度，容量合适，难易符合学生实际基础及提升要求。有一定的学段衔接性如学习的连续性和进阶性切教与学的阶段性要求。</w:t>
            </w:r>
          </w:p>
        </w:tc>
        <w:tc>
          <w:tcPr>
            <w:tcW w:w="773" w:type="dxa"/>
            <w:vMerge w:val="restart"/>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分层性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面向全体，有人人必做，同时充分尊重学生的差异，兼顾个体差异，爱好选做，满足不同学习层次学生的需求，既有统一作业要求，又有对不同水平层次的学生提出不同的要求，既有体现基础性，又能基</w:t>
            </w:r>
            <w:r>
              <w:rPr>
                <w:rFonts w:hint="eastAsia" w:ascii="宋体" w:hAnsi="宋体" w:eastAsia="宋体" w:cs="宋体"/>
                <w:sz w:val="22"/>
                <w:szCs w:val="22"/>
                <w:vertAlign w:val="baseline"/>
                <w:lang w:val="en-US" w:eastAsia="zh-CN"/>
              </w:rPr>
              <w:t>于</w:t>
            </w:r>
            <w:r>
              <w:rPr>
                <w:rFonts w:hint="eastAsia" w:ascii="宋体" w:hAnsi="宋体" w:eastAsia="宋体" w:cs="宋体"/>
                <w:sz w:val="22"/>
                <w:szCs w:val="22"/>
                <w:vertAlign w:val="baseline"/>
              </w:rPr>
              <w:t>课堂</w:t>
            </w:r>
            <w:r>
              <w:rPr>
                <w:rFonts w:hint="eastAsia" w:ascii="宋体" w:hAnsi="宋体" w:eastAsia="宋体" w:cs="宋体"/>
                <w:sz w:val="22"/>
                <w:szCs w:val="22"/>
                <w:vertAlign w:val="baseline"/>
                <w:lang w:val="en-US" w:eastAsia="zh-CN"/>
              </w:rPr>
              <w:t>实际满</w:t>
            </w:r>
            <w:r>
              <w:rPr>
                <w:rFonts w:hint="eastAsia" w:ascii="宋体" w:hAnsi="宋体" w:eastAsia="宋体" w:cs="宋体"/>
                <w:sz w:val="22"/>
                <w:szCs w:val="22"/>
                <w:vertAlign w:val="baseline"/>
              </w:rPr>
              <w:t>足不同学生对作业的不同要求，弹性</w:t>
            </w:r>
            <w:r>
              <w:rPr>
                <w:rFonts w:hint="eastAsia" w:ascii="宋体" w:hAnsi="宋体" w:eastAsia="宋体" w:cs="宋体"/>
                <w:sz w:val="22"/>
                <w:szCs w:val="22"/>
                <w:vertAlign w:val="baseline"/>
                <w:lang w:val="en-US" w:eastAsia="zh-CN"/>
              </w:rPr>
              <w:t>拓展</w:t>
            </w:r>
            <w:r>
              <w:rPr>
                <w:rFonts w:hint="eastAsia" w:ascii="宋体" w:hAnsi="宋体" w:eastAsia="宋体" w:cs="宋体"/>
                <w:sz w:val="22"/>
                <w:szCs w:val="22"/>
                <w:vertAlign w:val="baseline"/>
              </w:rPr>
              <w:t>提升作业。</w:t>
            </w:r>
          </w:p>
        </w:tc>
        <w:tc>
          <w:tcPr>
            <w:tcW w:w="773" w:type="dxa"/>
            <w:vMerge w:val="continue"/>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科学性</w:t>
            </w:r>
          </w:p>
        </w:tc>
        <w:tc>
          <w:tcPr>
            <w:tcW w:w="5137"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基于学科特点，科学合理设计作业结构、内容与形式，形式多样化，如书面型、讨论合作型、实践型等作业类型，各类型作业能基于不同知识，如事实性知识作业主要考查应知；程序性知识作业主要考查应会。</w:t>
            </w:r>
          </w:p>
        </w:tc>
        <w:tc>
          <w:tcPr>
            <w:tcW w:w="773" w:type="dxa"/>
            <w:vMerge w:val="continue"/>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导向性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作业体现及时性，“导练”促学，巩固原则，体现知学的自我评价意识。设计基于教与学的情境</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景</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有启发性、思考性作业，尽量体现趣味性，激发兴趣，提高学生乐于作业积极性和习惯性，有适当的深度，有自学思考的余地，利于学生学科思维的发展，体现深度学习</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自我消化</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要求。</w:t>
            </w:r>
          </w:p>
        </w:tc>
        <w:tc>
          <w:tcPr>
            <w:tcW w:w="773" w:type="dxa"/>
            <w:vMerge w:val="continue"/>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创新性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作业设计基于学设置有新颖，基于课堂有一定程度的创新和突破，体现学习的自主性，提高学生独立思考批判分析和创造性解决问题的能力。</w:t>
            </w:r>
          </w:p>
        </w:tc>
        <w:tc>
          <w:tcPr>
            <w:tcW w:w="773" w:type="dxa"/>
            <w:vMerge w:val="continue"/>
          </w:tcPr>
          <w:p>
            <w:pPr>
              <w:jc w:val="center"/>
              <w:rPr>
                <w:rFonts w:hint="eastAsia" w:ascii="宋体" w:hAnsi="宋体" w:eastAsia="宋体" w:cs="宋体"/>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restart"/>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作业设计内容与形式</w:t>
            </w: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适切性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依据课程标准，以一课</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单元、模块</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为基本单位，在“点、线、面”作业层次上、容量上考查设置合理。围绕培养学生学科能力进行作业设计有典型性，代表性</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作业设计结构完整，符合学生学习和生活特点，在关注作业应用的基础上，精心设计多种形式的作业，加强作业设计的综合性关联性、探究性和多样性，充分挖掘作业设计的创新元素，培养学生创新素养。利于发展学生的多种思维，有利于激发学生学习、探究知识的兴趣。</w:t>
            </w:r>
          </w:p>
        </w:tc>
        <w:tc>
          <w:tcPr>
            <w:tcW w:w="773" w:type="dxa"/>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结构性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提供一个完整课时</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单元、综合</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的书面作业设计，主要包含教材分析、学习目标、作业目标、模块作业整体设计思路、作业结构</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包含作业内容、时间要素、作业分析及设计意图</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等，其中评价设计需要明确评价实施主体以及评价标准</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对应目标</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rPr>
              <w:t>。</w:t>
            </w:r>
          </w:p>
        </w:tc>
        <w:tc>
          <w:tcPr>
            <w:tcW w:w="773" w:type="dxa"/>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restart"/>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作业设计目标达成</w:t>
            </w: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可评性</w:t>
            </w:r>
          </w:p>
        </w:tc>
        <w:tc>
          <w:tcPr>
            <w:tcW w:w="5137"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rPr>
              <w:t>作业设计严谨，充分体现设计思想，达成学科育人目标，可评可测，作业考查，不仅仅落实基础性考查</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lang w:val="en-US" w:eastAsia="zh-CN"/>
              </w:rPr>
              <w:t>记忆、理解、应用层次</w:t>
            </w:r>
            <w:r>
              <w:rPr>
                <w:rFonts w:hint="eastAsia" w:ascii="宋体" w:hAnsi="宋体" w:eastAsia="宋体" w:cs="宋体"/>
                <w:sz w:val="22"/>
                <w:szCs w:val="22"/>
                <w:vertAlign w:val="baseline"/>
                <w:lang w:eastAsia="zh-CN"/>
              </w:rPr>
              <w:t>），</w:t>
            </w:r>
            <w:r>
              <w:rPr>
                <w:rFonts w:hint="eastAsia" w:ascii="宋体" w:hAnsi="宋体" w:eastAsia="宋体" w:cs="宋体"/>
                <w:sz w:val="22"/>
                <w:szCs w:val="22"/>
                <w:vertAlign w:val="baseline"/>
                <w:lang w:val="en-US" w:eastAsia="zh-CN"/>
              </w:rPr>
              <w:t>同时在能力提升上有一定要求的思考（分析、评价、创新层次），不同层次的学生都有体验和收获，作业设计实效性高。作业有反馈分析，有展评，体现以评促学，可见加强作业完成辅导和过程性指导，把握学情精准反馈，同时体现“有导”，“有练”，更“有评”。体现导学也是在考查导教的教学反思。</w:t>
            </w:r>
          </w:p>
        </w:tc>
        <w:tc>
          <w:tcPr>
            <w:tcW w:w="773" w:type="dxa"/>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5" w:type="dxa"/>
            <w:vMerge w:val="continue"/>
          </w:tcPr>
          <w:p>
            <w:pPr>
              <w:rPr>
                <w:rFonts w:hint="eastAsia" w:ascii="宋体" w:hAnsi="宋体" w:eastAsia="宋体" w:cs="宋体"/>
                <w:sz w:val="22"/>
                <w:szCs w:val="22"/>
                <w:vertAlign w:val="baseline"/>
              </w:rPr>
            </w:pPr>
          </w:p>
        </w:tc>
        <w:tc>
          <w:tcPr>
            <w:tcW w:w="885" w:type="dxa"/>
          </w:tcPr>
          <w:p>
            <w:pP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可见性</w:t>
            </w:r>
          </w:p>
        </w:tc>
        <w:tc>
          <w:tcPr>
            <w:tcW w:w="5137" w:type="dxa"/>
          </w:tcPr>
          <w:p>
            <w:pPr>
              <w:rPr>
                <w:rFonts w:hint="eastAsia" w:ascii="宋体" w:hAnsi="宋体" w:eastAsia="宋体" w:cs="宋体"/>
                <w:sz w:val="22"/>
                <w:szCs w:val="22"/>
                <w:vertAlign w:val="baseline"/>
              </w:rPr>
            </w:pPr>
            <w:r>
              <w:rPr>
                <w:rFonts w:hint="eastAsia" w:ascii="宋体" w:hAnsi="宋体" w:eastAsia="宋体" w:cs="宋体"/>
                <w:sz w:val="22"/>
                <w:szCs w:val="22"/>
                <w:vertAlign w:val="baseline"/>
              </w:rPr>
              <w:t>看得见课堂，看得见学生学习。学生的学科核心素养、创新素养得到培养，学生能完成从知识理解到应</w:t>
            </w:r>
            <w:r>
              <w:rPr>
                <w:rFonts w:hint="eastAsia" w:ascii="宋体" w:hAnsi="宋体" w:eastAsia="宋体" w:cs="宋体"/>
                <w:sz w:val="22"/>
                <w:szCs w:val="22"/>
                <w:vertAlign w:val="baseline"/>
                <w:lang w:val="en-US" w:eastAsia="zh-CN"/>
              </w:rPr>
              <w:t>用</w:t>
            </w:r>
            <w:r>
              <w:rPr>
                <w:rFonts w:hint="eastAsia" w:ascii="宋体" w:hAnsi="宋体" w:eastAsia="宋体" w:cs="宋体"/>
                <w:sz w:val="22"/>
                <w:szCs w:val="22"/>
                <w:vertAlign w:val="baseline"/>
              </w:rPr>
              <w:t>中体现了认知、情感等方面得到一定的发展性提升，是“可见”的。</w:t>
            </w:r>
          </w:p>
        </w:tc>
        <w:tc>
          <w:tcPr>
            <w:tcW w:w="773" w:type="dxa"/>
          </w:tcPr>
          <w:p>
            <w:pPr>
              <w:jc w:val="center"/>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w:t>
            </w:r>
          </w:p>
        </w:tc>
      </w:tr>
    </w:tbl>
    <w:p>
      <w:pPr>
        <w:rPr>
          <w:rFonts w:hint="eastAsia" w:ascii="宋体" w:hAnsi="宋体" w:eastAsia="宋体" w:cs="宋体"/>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jhiZjliMmMxMDZkNzM4MzhjODVkNTJiODg4ZTkifQ=="/>
  </w:docVars>
  <w:rsids>
    <w:rsidRoot w:val="56717323"/>
    <w:rsid w:val="56717323"/>
    <w:rsid w:val="5D8C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2023-08-18T06:46:00Z</dcterms:created>
  <dc:creator>Flower</dc:creator>
  <cp:lastModifiedBy>llg</cp:lastModifiedBy>
  <dcterms:modified xsi:type="dcterms:W3CDTF">2023-10-23T07:21:15Z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EAAEB47A0B7245B6807349397228773F_11</vt:lpwstr>
  </property>
</Properties>
</file>