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因“三生课堂”而生发的教学设计</w:t>
      </w: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—— 圆与圆的位置关系</w:t>
      </w:r>
    </w:p>
    <w:p>
      <w:pPr>
        <w:jc w:val="center"/>
        <w:rPr>
          <w:rFonts w:hint="eastAsia"/>
        </w:rPr>
      </w:pPr>
      <w:r>
        <w:rPr>
          <w:rFonts w:hint="eastAsia"/>
        </w:rPr>
        <w:t>湖南省长沙市明德华兴中学    佘  科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【设计理念】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近年来，为不断实现高效课堂，体现“以人为本”的教育宗旨， 明德教育集团深化“三生课堂”教学改革，取得一定成效。</w:t>
      </w:r>
    </w:p>
    <w:p>
      <w:pPr>
        <w:rPr>
          <w:rFonts w:hint="eastAsia"/>
        </w:rPr>
      </w:pPr>
      <w:r>
        <w:rPr>
          <w:rFonts w:hint="eastAsia"/>
        </w:rPr>
        <w:t>“三生”即生活、生命、生态。本堂课的设计紧紧围绕“三生课 堂”教学理念而展开。首先，将源自生活的学生比较感兴趣的实例或 实物引入课堂，体现数学课堂的生活化。其次，在教学过程中，主要 让学生动手、动脑、探究，充分展现学生的生命活力。另外，课堂中 的所有教学活动，教师及每一个学生都参与其中，共同探讨，教师注 重关注学生的个体差异、个性发展， 真正体现人文关怀，使数学课堂 充满生态性。</w:t>
      </w:r>
    </w:p>
    <w:p>
      <w:pPr>
        <w:rPr>
          <w:rFonts w:hint="eastAsia"/>
        </w:rPr>
      </w:pPr>
      <w:r>
        <w:rPr>
          <w:rFonts w:hint="eastAsia"/>
        </w:rPr>
        <w:t>【教学过程】</w:t>
      </w:r>
    </w:p>
    <w:p>
      <w:pPr>
        <w:rPr>
          <w:rFonts w:hint="eastAsia"/>
        </w:rPr>
      </w:pPr>
      <w:r>
        <w:rPr>
          <w:rFonts w:hint="eastAsia"/>
        </w:rPr>
        <w:t>一、情境引入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请同学们观看视频——  “月食的形成”，在观看的过程中提出问 题：你们看到月亮和地球的圆形轮廓有哪几种位置关系？</w:t>
      </w:r>
    </w:p>
    <w:p>
      <w:pPr>
        <w:rPr>
          <w:rFonts w:hint="eastAsia"/>
        </w:rPr>
      </w:pPr>
      <w:r>
        <w:rPr>
          <w:rFonts w:hint="eastAsia"/>
        </w:rPr>
        <w:t>设计意图：通过创设生活中的真实情境，从自然现象中引出它所 蕴含的数学问题—— 圆和圆的位置关系，使学生在神奇中产生兴趣， 激发了学生探求新知的渴望，于是把教学带入下一个环节。</w:t>
      </w:r>
    </w:p>
    <w:p>
      <w:pPr>
        <w:rPr>
          <w:rFonts w:hint="eastAsia"/>
        </w:rPr>
      </w:pPr>
      <w:r>
        <w:rPr>
          <w:rFonts w:hint="eastAsia"/>
        </w:rPr>
        <w:t>二、探究新知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问题：两个不等的圆有哪几种位置关系呢？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师生根据刚才视频的动态过程，共同归纳总结出圆与圆的五种位 置关系：外离、外切、相交、内切、内含(指明同心圆是内含的一种 特例)。</w:t>
      </w:r>
    </w:p>
    <w:p>
      <w:pPr>
        <w:rPr>
          <w:rFonts w:hint="eastAsia"/>
        </w:rPr>
      </w:pPr>
      <w:r>
        <w:rPr>
          <w:rFonts w:hint="eastAsia"/>
        </w:rPr>
        <w:t>接着提出问题：在现实生活中，你见过两个圆的哪些位置关系？</w:t>
      </w:r>
    </w:p>
    <w:p>
      <w:pPr>
        <w:rPr>
          <w:rFonts w:hint="eastAsia"/>
        </w:rPr>
      </w:pPr>
      <w:r>
        <w:rPr>
          <w:rFonts w:hint="eastAsia"/>
        </w:rPr>
        <w:t>设计意图：在学生回答的基础上进行归纳和补充，让所有的学生 都体会到实际生活中确实存在多种圆与圆的位置关系，从而感受生活 的多姿多彩，激发了学生进一步学习的兴趣。</w:t>
      </w:r>
    </w:p>
    <w:p>
      <w:pPr>
        <w:rPr>
          <w:rFonts w:hint="eastAsia"/>
        </w:rPr>
      </w:pPr>
      <w:r>
        <w:rPr>
          <w:rFonts w:hint="eastAsia"/>
        </w:rPr>
        <w:t>之后，紧紧围绕新学知识，提出以下三个问题，以供小组讨论：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问题 1：为什么强调不等的两圆？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问题 2：按两圆公共点的个数可以将圆和圆的位置关系分为几种 情况？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问题 3：能否类似于直线和圆的位置关系将圆和圆的位置关系分 为三种情况呢？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设计意图：培养学生的合作意识和合作能力，加深学生对新学知 识的理解。</w:t>
      </w:r>
    </w:p>
    <w:p>
      <w:pPr>
        <w:rPr>
          <w:rFonts w:hint="eastAsia"/>
        </w:rPr>
      </w:pPr>
      <w:r>
        <w:rPr>
          <w:rFonts w:hint="eastAsia"/>
        </w:rPr>
        <w:t>在学生充分讨论、展示结束后，为趁热打铁，将课堂气氛推入一 个新的高潮，我设计了“抢答游戏”环节。(幻灯片展示抢答题)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在图中有两圆的多种位置关系，请你找出还没有的位置关系是 什么。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设计意图：引入竞争机制，不仅让学生熟练了两圆的各种位置关 系，更营造了一份和谐、活跃、民主而平等的课堂氛围。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此时，借着学生的兴趣和劲头，我又提出一个崭新的问题：回顾 直线和圆的位置关系的等价条件，两圆位置关系又与哪些量有关呢？ 设圆心距为 d，两圆半径分别为 R、r  (R&gt;r)。</w:t>
      </w:r>
    </w:p>
    <w:p>
      <w:pPr>
        <w:rPr>
          <w:rFonts w:hint="eastAsia"/>
        </w:rPr>
      </w:pPr>
      <w:r>
        <w:rPr>
          <w:rFonts w:hint="eastAsia"/>
        </w:rPr>
        <w:t>请看视频，并注意圆心距的变化。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视频放映结束后，请同学们以小组为单位，先用两个大小不一致的圆形纸片贴出各种不同的位置关系。然后，在各种情况下，用刻度尺分别量出两圆的半径及两圆的圆心距，进行比较，总结规律，完成表格(幻灯片呈现)。</w:t>
      </w:r>
    </w:p>
    <w:tbl>
      <w:tblPr>
        <w:tblStyle w:val="4"/>
        <w:tblW w:w="4798" w:type="dxa"/>
        <w:tblInd w:w="5" w:type="dxa"/>
        <w:tblBorders>
          <w:top w:val="single" w:color="030303" w:sz="4" w:space="0"/>
          <w:left w:val="single" w:color="030303" w:sz="4" w:space="0"/>
          <w:bottom w:val="single" w:color="030303" w:sz="4" w:space="0"/>
          <w:right w:val="single" w:color="030303" w:sz="4" w:space="0"/>
          <w:insideH w:val="single" w:color="030303" w:sz="4" w:space="0"/>
          <w:insideV w:val="single" w:color="030303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8"/>
        <w:gridCol w:w="754"/>
        <w:gridCol w:w="2786"/>
      </w:tblGrid>
      <w:tr>
        <w:tblPrEx>
          <w:tblBorders>
            <w:top w:val="single" w:color="030303" w:sz="4" w:space="0"/>
            <w:left w:val="single" w:color="030303" w:sz="4" w:space="0"/>
            <w:bottom w:val="single" w:color="030303" w:sz="4" w:space="0"/>
            <w:right w:val="single" w:color="030303" w:sz="4" w:space="0"/>
            <w:insideH w:val="single" w:color="030303" w:sz="4" w:space="0"/>
            <w:insideV w:val="single" w:color="030303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258" w:type="dxa"/>
            <w:tcBorders>
              <w:top w:val="single" w:color="030303" w:sz="2" w:space="0"/>
              <w:bottom w:val="single" w:color="030303" w:sz="2" w:space="0"/>
            </w:tcBorders>
            <w:vAlign w:val="top"/>
          </w:tcPr>
          <w:p>
            <w:pPr>
              <w:spacing w:before="72" w:line="220" w:lineRule="auto"/>
              <w:ind w:left="149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231F20"/>
                <w:spacing w:val="-1"/>
                <w:sz w:val="16"/>
                <w:szCs w:val="16"/>
              </w:rPr>
              <w:t>两圆位置关系</w:t>
            </w:r>
          </w:p>
        </w:tc>
        <w:tc>
          <w:tcPr>
            <w:tcW w:w="754" w:type="dxa"/>
            <w:tcBorders>
              <w:top w:val="single" w:color="030303" w:sz="2" w:space="0"/>
              <w:bottom w:val="single" w:color="030303" w:sz="2" w:space="0"/>
            </w:tcBorders>
            <w:vAlign w:val="top"/>
          </w:tcPr>
          <w:p>
            <w:pPr>
              <w:spacing w:before="72" w:line="220" w:lineRule="auto"/>
              <w:ind w:left="232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231F20"/>
                <w:spacing w:val="-6"/>
                <w:sz w:val="16"/>
                <w:szCs w:val="16"/>
              </w:rPr>
              <w:t>图</w:t>
            </w:r>
            <w:r>
              <w:rPr>
                <w:rFonts w:ascii="宋体" w:hAnsi="宋体" w:eastAsia="宋体" w:cs="宋体"/>
                <w:color w:val="231F20"/>
                <w:spacing w:val="-5"/>
                <w:sz w:val="16"/>
                <w:szCs w:val="16"/>
              </w:rPr>
              <w:t>形</w:t>
            </w:r>
          </w:p>
        </w:tc>
        <w:tc>
          <w:tcPr>
            <w:tcW w:w="2786" w:type="dxa"/>
            <w:tcBorders>
              <w:top w:val="single" w:color="030303" w:sz="2" w:space="0"/>
              <w:bottom w:val="single" w:color="030303" w:sz="2" w:space="0"/>
            </w:tcBorders>
            <w:vAlign w:val="top"/>
          </w:tcPr>
          <w:p>
            <w:pPr>
              <w:spacing w:before="41" w:line="213" w:lineRule="exact"/>
              <w:ind w:left="273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pacing w:val="-1"/>
                <w:position w:val="1"/>
                <w:sz w:val="16"/>
                <w:szCs w:val="16"/>
              </w:rPr>
              <w:t>d</w:t>
            </w:r>
            <w:r>
              <w:rPr>
                <w:rFonts w:ascii="Times New Roman" w:hAnsi="Times New Roman" w:eastAsia="Times New Roman" w:cs="Times New Roman"/>
                <w:color w:val="231F20"/>
                <w:spacing w:val="-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color w:val="231F20"/>
                <w:spacing w:val="-2"/>
                <w:position w:val="1"/>
                <w:sz w:val="16"/>
                <w:szCs w:val="16"/>
              </w:rPr>
              <w:t xml:space="preserve">与 </w:t>
            </w: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pacing w:val="-1"/>
                <w:position w:val="1"/>
                <w:sz w:val="16"/>
                <w:szCs w:val="16"/>
              </w:rPr>
              <w:t>R</w:t>
            </w:r>
            <w:r>
              <w:rPr>
                <w:rFonts w:ascii="Times New Roman" w:hAnsi="Times New Roman" w:eastAsia="Times New Roman" w:cs="Times New Roman"/>
                <w:color w:val="231F20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color w:val="231F20"/>
                <w:spacing w:val="-1"/>
                <w:position w:val="1"/>
                <w:sz w:val="16"/>
                <w:szCs w:val="16"/>
              </w:rPr>
              <w:t>，</w:t>
            </w: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pacing w:val="-1"/>
                <w:position w:val="1"/>
                <w:sz w:val="16"/>
                <w:szCs w:val="16"/>
              </w:rPr>
              <w:t>r</w:t>
            </w:r>
            <w:r>
              <w:rPr>
                <w:rFonts w:ascii="Times New Roman" w:hAnsi="Times New Roman" w:eastAsia="Times New Roman" w:cs="Times New Roman"/>
                <w:color w:val="231F20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color w:val="231F20"/>
                <w:spacing w:val="-1"/>
                <w:position w:val="1"/>
                <w:sz w:val="16"/>
                <w:szCs w:val="16"/>
              </w:rPr>
              <w:t>之间的关系(</w:t>
            </w: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pacing w:val="-1"/>
                <w:position w:val="1"/>
                <w:sz w:val="16"/>
                <w:szCs w:val="16"/>
              </w:rPr>
              <w:t>R</w:t>
            </w:r>
            <w:r>
              <w:rPr>
                <w:rFonts w:ascii="Times New Roman" w:hAnsi="Times New Roman" w:eastAsia="Times New Roman" w:cs="Times New Roman"/>
                <w:color w:val="231F20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color w:val="231F20"/>
                <w:spacing w:val="-1"/>
                <w:position w:val="1"/>
                <w:sz w:val="16"/>
                <w:szCs w:val="16"/>
              </w:rPr>
              <w:t xml:space="preserve">＞ </w:t>
            </w: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pacing w:val="-1"/>
                <w:position w:val="1"/>
                <w:sz w:val="16"/>
                <w:szCs w:val="16"/>
              </w:rPr>
              <w:t>r</w:t>
            </w:r>
            <w:r>
              <w:rPr>
                <w:rFonts w:ascii="Times New Roman" w:hAnsi="Times New Roman" w:eastAsia="Times New Roman" w:cs="Times New Roman"/>
                <w:color w:val="231F20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color w:val="231F20"/>
                <w:spacing w:val="-1"/>
                <w:position w:val="1"/>
                <w:sz w:val="16"/>
                <w:szCs w:val="16"/>
              </w:rPr>
              <w:t>)</w:t>
            </w:r>
          </w:p>
        </w:tc>
      </w:tr>
      <w:tr>
        <w:tblPrEx>
          <w:tblBorders>
            <w:top w:val="single" w:color="030303" w:sz="4" w:space="0"/>
            <w:left w:val="single" w:color="030303" w:sz="4" w:space="0"/>
            <w:bottom w:val="single" w:color="030303" w:sz="4" w:space="0"/>
            <w:right w:val="single" w:color="030303" w:sz="4" w:space="0"/>
            <w:insideH w:val="single" w:color="030303" w:sz="4" w:space="0"/>
            <w:insideV w:val="single" w:color="030303" w:sz="4" w:space="0"/>
          </w:tblBorders>
          <w:tblLayout w:type="fixed"/>
        </w:tblPrEx>
        <w:trPr>
          <w:trHeight w:val="298" w:hRule="atLeast"/>
        </w:trPr>
        <w:tc>
          <w:tcPr>
            <w:tcW w:w="1258" w:type="dxa"/>
            <w:tcBorders>
              <w:top w:val="single" w:color="030303" w:sz="2" w:space="0"/>
              <w:bottom w:val="single" w:color="030303" w:sz="2" w:space="0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54" w:type="dxa"/>
            <w:tcBorders>
              <w:top w:val="single" w:color="030303" w:sz="2" w:space="0"/>
              <w:bottom w:val="single" w:color="030303" w:sz="2" w:space="0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786" w:type="dxa"/>
            <w:tcBorders>
              <w:top w:val="single" w:color="030303" w:sz="2" w:space="0"/>
              <w:bottom w:val="single" w:color="030303" w:sz="2" w:space="0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30303" w:sz="4" w:space="0"/>
            <w:left w:val="single" w:color="030303" w:sz="4" w:space="0"/>
            <w:bottom w:val="single" w:color="030303" w:sz="4" w:space="0"/>
            <w:right w:val="single" w:color="030303" w:sz="4" w:space="0"/>
            <w:insideH w:val="single" w:color="030303" w:sz="4" w:space="0"/>
            <w:insideV w:val="single" w:color="030303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258" w:type="dxa"/>
            <w:tcBorders>
              <w:top w:val="single" w:color="030303" w:sz="2" w:space="0"/>
              <w:bottom w:val="single" w:color="030303" w:sz="2" w:space="0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54" w:type="dxa"/>
            <w:tcBorders>
              <w:top w:val="single" w:color="030303" w:sz="2" w:space="0"/>
              <w:bottom w:val="single" w:color="030303" w:sz="2" w:space="0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786" w:type="dxa"/>
            <w:tcBorders>
              <w:top w:val="single" w:color="030303" w:sz="2" w:space="0"/>
              <w:bottom w:val="single" w:color="030303" w:sz="2" w:space="0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30303" w:sz="4" w:space="0"/>
            <w:left w:val="single" w:color="030303" w:sz="4" w:space="0"/>
            <w:bottom w:val="single" w:color="030303" w:sz="4" w:space="0"/>
            <w:right w:val="single" w:color="030303" w:sz="4" w:space="0"/>
            <w:insideH w:val="single" w:color="030303" w:sz="4" w:space="0"/>
            <w:insideV w:val="single" w:color="030303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258" w:type="dxa"/>
            <w:tcBorders>
              <w:top w:val="single" w:color="030303" w:sz="2" w:space="0"/>
              <w:bottom w:val="single" w:color="030303" w:sz="2" w:space="0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54" w:type="dxa"/>
            <w:tcBorders>
              <w:top w:val="single" w:color="030303" w:sz="2" w:space="0"/>
              <w:bottom w:val="single" w:color="030303" w:sz="2" w:space="0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786" w:type="dxa"/>
            <w:tcBorders>
              <w:top w:val="single" w:color="030303" w:sz="2" w:space="0"/>
              <w:bottom w:val="single" w:color="030303" w:sz="2" w:space="0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30303" w:sz="4" w:space="0"/>
            <w:left w:val="single" w:color="030303" w:sz="4" w:space="0"/>
            <w:bottom w:val="single" w:color="030303" w:sz="4" w:space="0"/>
            <w:right w:val="single" w:color="030303" w:sz="4" w:space="0"/>
            <w:insideH w:val="single" w:color="030303" w:sz="4" w:space="0"/>
            <w:insideV w:val="single" w:color="030303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258" w:type="dxa"/>
            <w:tcBorders>
              <w:top w:val="single" w:color="030303" w:sz="2" w:space="0"/>
              <w:bottom w:val="single" w:color="030303" w:sz="2" w:space="0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54" w:type="dxa"/>
            <w:tcBorders>
              <w:top w:val="single" w:color="030303" w:sz="2" w:space="0"/>
              <w:bottom w:val="single" w:color="030303" w:sz="2" w:space="0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786" w:type="dxa"/>
            <w:tcBorders>
              <w:top w:val="single" w:color="030303" w:sz="2" w:space="0"/>
              <w:bottom w:val="single" w:color="030303" w:sz="2" w:space="0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30303" w:sz="4" w:space="0"/>
            <w:left w:val="single" w:color="030303" w:sz="4" w:space="0"/>
            <w:bottom w:val="single" w:color="030303" w:sz="4" w:space="0"/>
            <w:right w:val="single" w:color="030303" w:sz="4" w:space="0"/>
            <w:insideH w:val="single" w:color="030303" w:sz="4" w:space="0"/>
            <w:insideV w:val="single" w:color="030303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258" w:type="dxa"/>
            <w:tcBorders>
              <w:top w:val="single" w:color="030303" w:sz="2" w:space="0"/>
              <w:bottom w:val="single" w:color="030303" w:sz="2" w:space="0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54" w:type="dxa"/>
            <w:tcBorders>
              <w:top w:val="single" w:color="030303" w:sz="2" w:space="0"/>
              <w:bottom w:val="single" w:color="030303" w:sz="2" w:space="0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786" w:type="dxa"/>
            <w:tcBorders>
              <w:top w:val="single" w:color="030303" w:sz="2" w:space="0"/>
              <w:bottom w:val="single" w:color="030303" w:sz="2" w:space="0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设计意图：通过观察视频，学生对两圆圆心距与两圆半径之和或 之差之间的数量关系会有所猜测，再通过动手实验，参与数学活动， 共同探究，验证猜想，从而得出结论。培养了学生的科学探索精神，充分展现了学生的生命活力。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这个时候，课堂氛围已达高潮，学生对本堂课的知识要点有了全面而较深刻的掌握，于是顺理成章地将教学过程推进到下一个环节。</w:t>
      </w:r>
    </w:p>
    <w:p>
      <w:pPr>
        <w:rPr>
          <w:rFonts w:hint="eastAsia"/>
        </w:rPr>
      </w:pPr>
      <w:r>
        <w:rPr>
          <w:rFonts w:hint="eastAsia"/>
        </w:rPr>
        <w:t>三、小结升华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设问：本节课学完后，你有什么想对自己说的？(学习到的知识) 你有什么想对同学说的？(要注意的地方)你有什么想对老师说的？ (还存在的疑问)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设计意图：通过回顾和反思，让学生看到自己的进步，激励学生，使学生相信自己在今后的学习中不断进步，体现人文关怀。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当同学们畅所欲言谈完之后，我也与他们分享了自己的一段感 悟：每当谈到“圆和圆的位置关系”，我就想到我们人与人之间的关 系。外离，就好比关系疏远；外切，就好比相互依存；相交，就好比 彼此是朋友；内切，就好比依存和包容；内含，就好比一方对另一方 的包容、宽宏和大度。而当达到内含的特殊情况：同心，即好比人和人同心同德，团结一致，相互包容，和谐共处。我们一个班的学生， 从不同的地方走到一起组成一个集体，就应该慢慢地由“外离”逐步 变成“同心”，这样才能最终圆我们的“班级梦”。</w:t>
      </w:r>
    </w:p>
    <w:p>
      <w:pPr>
        <w:rPr>
          <w:rFonts w:hint="eastAsia"/>
        </w:rPr>
      </w:pPr>
      <w:r>
        <w:rPr>
          <w:rFonts w:hint="eastAsia"/>
        </w:rPr>
        <w:t>四、布置作业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千里之行，始于足下，最后是布置作业的环节。作业分必做和选做两部分。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设计意图：分层布置作业适应不同梯度学生的要求，尊重了学生的个体差异，体现了不同的人在数学中可以得到不同的发展。</w:t>
      </w:r>
    </w:p>
    <w:p>
      <w:pPr>
        <w:rPr>
          <w:rFonts w:hint="eastAsia"/>
        </w:rPr>
      </w:pPr>
      <w:r>
        <w:rPr>
          <w:rFonts w:hint="eastAsia"/>
        </w:rPr>
        <w:t>【教学评价】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本堂课以生活中的实例引入，从而让学生归纳出“圆和圆的五种 位置关系”，接着又让学生举出生活中的例子，体现了“数学源于生 活，而又服务于生活”。在探究“各种位置关系下两圆圆心距与两圆 半径间的数量关系”的过程中， 由于学生对数量关系比较模糊，  因此 在教学过程中特别关注学生的动手操作过程，关注学生之间互相交流 的过程，鼓励学生积极地投入教学活动中去，给了学生比较充分的思 维、探究的时间与空间，展现了学生的生命活力，体现了数学课堂的生态性。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NDVlZDE0ZDA4MWE4ZDIyNTQ1ZGQ3ZjY2MDYyNTYifQ=="/>
  </w:docVars>
  <w:rsids>
    <w:rsidRoot w:val="00000000"/>
    <w:rsid w:val="02CB3DB5"/>
    <w:rsid w:val="10BB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2023-06-13T23:46:00Z</dcterms:created>
  <dc:creator>pc</dc:creator>
  <cp:lastModifiedBy>llg</cp:lastModifiedBy>
  <dcterms:modified xsi:type="dcterms:W3CDTF">2023-06-14T07:11:23Z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A2CCDA993D214D45BBDCB1C54BF190A6_12</vt:lpwstr>
  </property>
</Properties>
</file>